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9627D" w14:textId="77777777" w:rsidR="007C2C86" w:rsidRDefault="007C2C86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5DC42BCD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49D141DF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BD8DF26" w14:textId="77777777" w:rsidR="007C2C86" w:rsidRDefault="009E69EE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49F5BE86" w14:textId="77777777" w:rsidR="007C2C86" w:rsidRDefault="009E69EE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739AEF1F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19D46D4D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0571F253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F6A1B56" w14:textId="77777777" w:rsidR="007C2C86" w:rsidRDefault="007C2C86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A7B37F" w14:textId="34E527D3" w:rsidR="007C2C86" w:rsidRPr="00037276" w:rsidRDefault="009E69EE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 w:rsidRPr="00037276"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</w:t>
      </w:r>
      <w:r w:rsidRPr="00037276">
        <w:rPr>
          <w:rFonts w:ascii="Times New Roman" w:hAnsi="Times New Roman"/>
          <w:sz w:val="27"/>
          <w:szCs w:val="27"/>
        </w:rPr>
        <w:t xml:space="preserve">ежемесячного размера оплаты труда работников, состоящих в штате организации, осуществляющих трудовую деятельность (далее – данные), 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1A3999" w:rsidRPr="00037276">
        <w:rPr>
          <w:rFonts w:ascii="Times New Roman" w:hAnsi="Times New Roman"/>
          <w:color w:val="auto"/>
          <w:sz w:val="27"/>
          <w:szCs w:val="27"/>
        </w:rPr>
        <w:t>май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5861DF" w:rsidRPr="00037276">
        <w:rPr>
          <w:rFonts w:ascii="Times New Roman" w:hAnsi="Times New Roman"/>
          <w:color w:val="auto"/>
          <w:sz w:val="27"/>
          <w:szCs w:val="27"/>
        </w:rPr>
        <w:t>2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 формам и справочникам, размещенным на сайте в разделе: Направления деятельности/Система оплаты труда /Информация для медицинских организаций по адресу </w:t>
      </w:r>
      <w:hyperlink r:id="rId4">
        <w:r w:rsidRPr="00037276">
          <w:rPr>
            <w:rStyle w:val="-"/>
            <w:rFonts w:ascii="Times New Roman" w:hAnsi="Times New Roman"/>
            <w:sz w:val="27"/>
            <w:szCs w:val="27"/>
          </w:rPr>
          <w:t>https://minzdravao.ru/site-page/informaciya-dlya-medicinskih-organizaciy</w:t>
        </w:r>
      </w:hyperlink>
      <w:r w:rsidRPr="00037276">
        <w:rPr>
          <w:rFonts w:ascii="Times New Roman" w:hAnsi="Times New Roman"/>
          <w:color w:val="auto"/>
          <w:sz w:val="27"/>
          <w:szCs w:val="27"/>
        </w:rPr>
        <w:t>.</w:t>
      </w:r>
    </w:p>
    <w:p w14:paraId="563593AE" w14:textId="06BD5212" w:rsidR="0098331A" w:rsidRPr="00037276" w:rsidRDefault="0098331A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 w:rsidRPr="00037276">
        <w:rPr>
          <w:rFonts w:ascii="Times New Roman" w:hAnsi="Times New Roman"/>
          <w:color w:val="auto"/>
          <w:sz w:val="27"/>
          <w:szCs w:val="27"/>
        </w:rPr>
        <w:t xml:space="preserve">Обращаем </w:t>
      </w:r>
      <w:r w:rsidR="00037276" w:rsidRPr="00037276">
        <w:rPr>
          <w:rFonts w:ascii="Times New Roman" w:hAnsi="Times New Roman"/>
          <w:color w:val="auto"/>
          <w:sz w:val="27"/>
          <w:szCs w:val="27"/>
        </w:rPr>
        <w:t>В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аше внимание, </w:t>
      </w:r>
      <w:r w:rsidR="006B4F99">
        <w:rPr>
          <w:rFonts w:ascii="Times New Roman" w:hAnsi="Times New Roman"/>
          <w:color w:val="auto"/>
          <w:sz w:val="27"/>
          <w:szCs w:val="27"/>
        </w:rPr>
        <w:t xml:space="preserve">во избежание ошибок при занесении данных, 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необходимо заполнять </w:t>
      </w:r>
      <w:r w:rsidR="00037276" w:rsidRPr="00037276">
        <w:rPr>
          <w:rFonts w:ascii="Times New Roman" w:hAnsi="Times New Roman"/>
          <w:color w:val="auto"/>
          <w:sz w:val="27"/>
          <w:szCs w:val="27"/>
        </w:rPr>
        <w:t>файл «Ф</w:t>
      </w:r>
      <w:r w:rsidRPr="00037276">
        <w:rPr>
          <w:rFonts w:ascii="Times New Roman" w:hAnsi="Times New Roman"/>
          <w:color w:val="auto"/>
          <w:sz w:val="27"/>
          <w:szCs w:val="27"/>
        </w:rPr>
        <w:t>орм</w:t>
      </w:r>
      <w:r w:rsidR="00037276" w:rsidRPr="00037276">
        <w:rPr>
          <w:rFonts w:ascii="Times New Roman" w:hAnsi="Times New Roman"/>
          <w:color w:val="auto"/>
          <w:sz w:val="27"/>
          <w:szCs w:val="27"/>
        </w:rPr>
        <w:t>а</w:t>
      </w:r>
      <w:r w:rsidRPr="00037276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037276" w:rsidRPr="00037276">
        <w:rPr>
          <w:rFonts w:ascii="Times New Roman" w:hAnsi="Times New Roman"/>
          <w:color w:val="auto"/>
          <w:sz w:val="27"/>
          <w:szCs w:val="27"/>
        </w:rPr>
        <w:t>для заполнения</w:t>
      </w:r>
      <w:r w:rsidR="006B4F99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037276" w:rsidRPr="00037276">
        <w:rPr>
          <w:rFonts w:ascii="Times New Roman" w:hAnsi="Times New Roman"/>
          <w:color w:val="auto"/>
          <w:sz w:val="27"/>
          <w:szCs w:val="27"/>
        </w:rPr>
        <w:t>_</w:t>
      </w:r>
      <w:r w:rsidR="00037276" w:rsidRPr="00037276">
        <w:rPr>
          <w:rFonts w:ascii="Times New Roman" w:hAnsi="Times New Roman"/>
          <w:color w:val="auto"/>
          <w:sz w:val="27"/>
          <w:szCs w:val="27"/>
          <w:lang w:val="en-US"/>
        </w:rPr>
        <w:t>v</w:t>
      </w:r>
      <w:r w:rsidR="00037276" w:rsidRPr="00037276">
        <w:rPr>
          <w:rFonts w:ascii="Times New Roman" w:hAnsi="Times New Roman"/>
          <w:color w:val="auto"/>
          <w:sz w:val="27"/>
          <w:szCs w:val="27"/>
        </w:rPr>
        <w:t>2022_</w:t>
      </w:r>
      <w:r w:rsidR="006B4F99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037276" w:rsidRPr="00037276">
        <w:rPr>
          <w:rFonts w:ascii="Times New Roman" w:hAnsi="Times New Roman"/>
          <w:color w:val="auto"/>
          <w:sz w:val="27"/>
          <w:szCs w:val="27"/>
        </w:rPr>
        <w:t>(с проверками)</w:t>
      </w:r>
      <w:r w:rsidR="00A915E8">
        <w:rPr>
          <w:rFonts w:ascii="Times New Roman" w:hAnsi="Times New Roman"/>
          <w:color w:val="auto"/>
          <w:sz w:val="27"/>
          <w:szCs w:val="27"/>
        </w:rPr>
        <w:t>»</w:t>
      </w:r>
      <w:r w:rsidR="000C3E03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 xml:space="preserve">в </w:t>
      </w:r>
      <w:r w:rsidR="000C3E03">
        <w:rPr>
          <w:rFonts w:ascii="Times New Roman" w:hAnsi="Times New Roman"/>
          <w:color w:val="auto"/>
          <w:sz w:val="27"/>
          <w:szCs w:val="27"/>
        </w:rPr>
        <w:t xml:space="preserve">которую 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>добавлены условия проверки</w:t>
      </w:r>
      <w:r w:rsidR="006F76CA">
        <w:rPr>
          <w:rFonts w:ascii="Times New Roman" w:hAnsi="Times New Roman"/>
          <w:color w:val="auto"/>
          <w:sz w:val="27"/>
          <w:szCs w:val="27"/>
        </w:rPr>
        <w:t>.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6F76CA">
        <w:rPr>
          <w:rFonts w:ascii="Times New Roman" w:hAnsi="Times New Roman"/>
          <w:color w:val="auto"/>
          <w:sz w:val="27"/>
          <w:szCs w:val="27"/>
        </w:rPr>
        <w:t xml:space="preserve">Дополнительно 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 xml:space="preserve">информацию перед отправкой </w:t>
      </w:r>
      <w:r w:rsidR="00373B0F">
        <w:rPr>
          <w:rFonts w:ascii="Times New Roman" w:hAnsi="Times New Roman"/>
          <w:color w:val="auto"/>
          <w:sz w:val="27"/>
          <w:szCs w:val="27"/>
        </w:rPr>
        <w:t>необходимо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 xml:space="preserve"> проверить с помощью файла </w:t>
      </w:r>
      <w:r w:rsidR="000C3E03">
        <w:rPr>
          <w:rFonts w:ascii="Times New Roman" w:hAnsi="Times New Roman"/>
          <w:color w:val="auto"/>
          <w:sz w:val="27"/>
          <w:szCs w:val="27"/>
        </w:rPr>
        <w:t>«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>!!!проверка</w:t>
      </w:r>
      <w:r w:rsidR="000C3E03">
        <w:rPr>
          <w:rFonts w:ascii="Times New Roman" w:hAnsi="Times New Roman"/>
          <w:color w:val="auto"/>
          <w:sz w:val="27"/>
          <w:szCs w:val="27"/>
        </w:rPr>
        <w:t xml:space="preserve">» </w:t>
      </w:r>
      <w:r w:rsidR="00C6208E">
        <w:rPr>
          <w:rFonts w:ascii="Times New Roman" w:hAnsi="Times New Roman"/>
          <w:color w:val="auto"/>
          <w:sz w:val="27"/>
          <w:szCs w:val="27"/>
        </w:rPr>
        <w:t>(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>Инструкция на листе 1</w:t>
      </w:r>
      <w:r w:rsidR="00C6208E">
        <w:rPr>
          <w:rFonts w:ascii="Times New Roman" w:hAnsi="Times New Roman"/>
          <w:color w:val="auto"/>
          <w:sz w:val="27"/>
          <w:szCs w:val="27"/>
        </w:rPr>
        <w:t>)</w:t>
      </w:r>
      <w:r w:rsidR="000C3E03" w:rsidRPr="000C3E03">
        <w:rPr>
          <w:rFonts w:ascii="Times New Roman" w:hAnsi="Times New Roman"/>
          <w:color w:val="auto"/>
          <w:sz w:val="27"/>
          <w:szCs w:val="27"/>
        </w:rPr>
        <w:t>.</w:t>
      </w:r>
    </w:p>
    <w:p w14:paraId="509DCF59" w14:textId="3300B743" w:rsidR="007C2C86" w:rsidRPr="00037276" w:rsidRDefault="009E69EE">
      <w:pPr>
        <w:pStyle w:val="1"/>
        <w:keepNext w:val="0"/>
        <w:spacing w:before="0" w:after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Во исполнение ежемесячного мониторинга оплаты труда работников учреждений, установленного Министерством труда и социального развития Российской Федерации письмом от 16.10.2019 №14-0/10/П-9257 (соответствующее письмо министерства здравоохранения Астраханской области от 24.10.2019 № 01-20-19366), предоставление данных за </w:t>
      </w:r>
      <w:r w:rsidR="001A399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май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 202</w:t>
      </w:r>
      <w:r w:rsidR="005861DF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 года будет осуществляться по утвержденной форме «Астраха_202</w:t>
      </w:r>
      <w:r w:rsidR="005861DF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_</w:t>
      </w:r>
      <w:r w:rsidR="005861DF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1A399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5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_наим </w:t>
      </w:r>
      <w:proofErr w:type="spellStart"/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учр_МТ</w:t>
      </w:r>
      <w:proofErr w:type="spellEnd"/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».</w:t>
      </w:r>
    </w:p>
    <w:p w14:paraId="51287CB9" w14:textId="7394DD85" w:rsidR="007C2C86" w:rsidRPr="00037276" w:rsidRDefault="009E69EE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bookmarkStart w:id="0" w:name="_Hlk33798905"/>
      <w:r w:rsidRPr="00037276">
        <w:rPr>
          <w:rFonts w:ascii="Times New Roman" w:hAnsi="Times New Roman"/>
          <w:b w:val="0"/>
          <w:bCs w:val="0"/>
          <w:sz w:val="27"/>
          <w:szCs w:val="27"/>
        </w:rPr>
        <w:t>Данные ежемесячных мониторингов</w:t>
      </w:r>
      <w:bookmarkEnd w:id="0"/>
      <w:r w:rsidRPr="00037276">
        <w:rPr>
          <w:rFonts w:ascii="Times New Roman" w:hAnsi="Times New Roman"/>
          <w:b w:val="0"/>
          <w:bCs w:val="0"/>
          <w:sz w:val="27"/>
          <w:szCs w:val="27"/>
        </w:rPr>
        <w:t xml:space="preserve"> направляются на адрес электронный почты </w:t>
      </w:r>
      <w:hyperlink r:id="rId5">
        <w:r w:rsidRPr="00037276">
          <w:rPr>
            <w:rStyle w:val="-"/>
            <w:rFonts w:ascii="Times New Roman" w:hAnsi="Times New Roman"/>
            <w:b w:val="0"/>
            <w:bCs w:val="0"/>
            <w:sz w:val="27"/>
            <w:szCs w:val="27"/>
          </w:rPr>
          <w:t>ostatzp@mail.ru</w:t>
        </w:r>
      </w:hyperlink>
      <w:r w:rsidRPr="00037276">
        <w:rPr>
          <w:color w:val="auto"/>
          <w:sz w:val="27"/>
          <w:szCs w:val="27"/>
        </w:rPr>
        <w:t xml:space="preserve"> </w:t>
      </w: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45948F" w14:textId="39E91FD5" w:rsidR="007C2C86" w:rsidRPr="00037276" w:rsidRDefault="009E69EE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BB771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4F24E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BB771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.0</w:t>
      </w:r>
      <w:r w:rsidR="004F24E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6</w:t>
      </w:r>
      <w:r w:rsidR="00BB7719" w:rsidRPr="00037276">
        <w:rPr>
          <w:rFonts w:ascii="Times New Roman" w:hAnsi="Times New Roman"/>
          <w:b w:val="0"/>
          <w:bCs w:val="0"/>
          <w:color w:val="auto"/>
          <w:sz w:val="27"/>
          <w:szCs w:val="27"/>
        </w:rPr>
        <w:t>.2022</w:t>
      </w:r>
      <w:r w:rsidRPr="00037276"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C34190F" w14:textId="6C00DC4F" w:rsidR="009E69EE" w:rsidRPr="00037276" w:rsidRDefault="009E69EE" w:rsidP="00FC68EE">
      <w:pPr>
        <w:pStyle w:val="1"/>
        <w:keepNext w:val="0"/>
        <w:spacing w:before="0" w:after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  <w:r w:rsidRPr="00037276">
        <w:rPr>
          <w:rFonts w:ascii="Times New Roman" w:hAnsi="Times New Roman"/>
          <w:b w:val="0"/>
          <w:bCs w:val="0"/>
          <w:sz w:val="27"/>
          <w:szCs w:val="27"/>
        </w:rPr>
        <w:t>Файлы, присылаемые с ошибками и неверным</w:t>
      </w:r>
      <w:r w:rsidR="00931A81" w:rsidRPr="00037276">
        <w:rPr>
          <w:rFonts w:ascii="Times New Roman" w:hAnsi="Times New Roman"/>
          <w:b w:val="0"/>
          <w:bCs w:val="0"/>
          <w:sz w:val="27"/>
          <w:szCs w:val="27"/>
        </w:rPr>
        <w:t>и</w:t>
      </w:r>
      <w:r w:rsidRPr="00037276">
        <w:rPr>
          <w:rFonts w:ascii="Times New Roman" w:hAnsi="Times New Roman"/>
          <w:b w:val="0"/>
          <w:bCs w:val="0"/>
          <w:sz w:val="27"/>
          <w:szCs w:val="27"/>
        </w:rPr>
        <w:t xml:space="preserve"> наименовани</w:t>
      </w:r>
      <w:r w:rsidR="00931A81" w:rsidRPr="00037276">
        <w:rPr>
          <w:rFonts w:ascii="Times New Roman" w:hAnsi="Times New Roman"/>
          <w:b w:val="0"/>
          <w:bCs w:val="0"/>
          <w:sz w:val="27"/>
          <w:szCs w:val="27"/>
        </w:rPr>
        <w:t>ями</w:t>
      </w:r>
      <w:r w:rsidRPr="00037276">
        <w:rPr>
          <w:rFonts w:ascii="Times New Roman" w:hAnsi="Times New Roman"/>
          <w:b w:val="0"/>
          <w:bCs w:val="0"/>
          <w:sz w:val="27"/>
          <w:szCs w:val="27"/>
        </w:rPr>
        <w:t>, будут считаться не сданными.</w:t>
      </w:r>
    </w:p>
    <w:p w14:paraId="358ACFAB" w14:textId="77777777" w:rsidR="00931A81" w:rsidRDefault="00931A81">
      <w:pPr>
        <w:pStyle w:val="1"/>
        <w:keepNext w:val="0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</w:p>
    <w:p w14:paraId="71D86C36" w14:textId="294DAE76" w:rsidR="007C2C86" w:rsidRDefault="007C2C86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5CB3D7D" w14:textId="77777777" w:rsidR="006D2568" w:rsidRDefault="006D2568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BC3ACC" w14:textId="1102D52E" w:rsidR="007C2C86" w:rsidRDefault="005861DF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A5026C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аместитель </w:t>
      </w:r>
      <w:r w:rsidR="009E69EE">
        <w:rPr>
          <w:rFonts w:ascii="Times New Roman" w:hAnsi="Times New Roman"/>
          <w:bCs/>
          <w:color w:val="auto"/>
          <w:sz w:val="27"/>
          <w:szCs w:val="27"/>
          <w:highlight w:val="white"/>
        </w:rPr>
        <w:t>министра</w:t>
      </w:r>
      <w:r w:rsidR="009E69EE">
        <w:rPr>
          <w:rFonts w:ascii="Times New Roman" w:hAnsi="Times New Roman"/>
          <w:bCs/>
          <w:color w:val="auto"/>
          <w:sz w:val="27"/>
          <w:szCs w:val="27"/>
        </w:rPr>
        <w:tab/>
      </w:r>
      <w:r>
        <w:rPr>
          <w:rFonts w:ascii="Times New Roman" w:hAnsi="Times New Roman"/>
          <w:bCs/>
          <w:color w:val="auto"/>
          <w:sz w:val="27"/>
          <w:szCs w:val="27"/>
        </w:rPr>
        <w:t xml:space="preserve">Е.Ю. </w:t>
      </w:r>
      <w:proofErr w:type="spellStart"/>
      <w:r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34B9076D" w14:textId="77777777" w:rsidR="006D2568" w:rsidRDefault="006D2568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527AF6E0" w14:textId="50ABA25F" w:rsidR="00931A81" w:rsidRDefault="00931A81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14:paraId="2ECB9DF5" w14:textId="7E4C9888" w:rsidR="009E69EE" w:rsidRDefault="0002397D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r>
        <w:rPr>
          <w:rFonts w:ascii="Times New Roman" w:hAnsi="Times New Roman"/>
          <w:bCs/>
          <w:highlight w:val="white"/>
        </w:rPr>
        <w:t>Бузбаева Зайнеш Утебаевна</w:t>
      </w:r>
    </w:p>
    <w:p w14:paraId="66818E2D" w14:textId="723678F7" w:rsidR="007C2C86" w:rsidRDefault="009E69EE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p w14:paraId="133832FC" w14:textId="77777777" w:rsidR="007C2C86" w:rsidRDefault="007C2C86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6E08B0D4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E74B990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EFFAF97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72000B5E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06C11B59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942E519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65BB9A9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17EE7079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15D90E6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6D8C9135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44AB8D4C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04587DF2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1E45E84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410AD13C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709B81F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2AE9687C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75A341D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A8E18EC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785EEE26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6CE30E87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5DB15271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4015771E" w14:textId="77777777" w:rsidR="007C2C86" w:rsidRDefault="007C2C86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2F379C3E" w14:textId="77777777" w:rsidR="00AB14F8" w:rsidRDefault="00AB14F8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4075CFE8" w14:textId="77777777" w:rsidR="00AB14F8" w:rsidRDefault="00AB14F8">
      <w:pPr>
        <w:spacing w:line="240" w:lineRule="auto"/>
        <w:jc w:val="both"/>
        <w:rPr>
          <w:rFonts w:ascii="Times New Roman" w:hAnsi="Times New Roman"/>
          <w:bCs/>
          <w:sz w:val="27"/>
          <w:szCs w:val="27"/>
          <w:highlight w:val="white"/>
        </w:rPr>
      </w:pPr>
    </w:p>
    <w:p w14:paraId="3D4091C4" w14:textId="77777777" w:rsidR="009A2348" w:rsidRDefault="009A2348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</w:p>
    <w:p w14:paraId="2D8EDD35" w14:textId="77777777" w:rsidR="009A2348" w:rsidRDefault="009A2348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</w:p>
    <w:p w14:paraId="739249FB" w14:textId="7124D867" w:rsidR="007C2C86" w:rsidRPr="00FC68EE" w:rsidRDefault="009E69EE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 w:rsidRPr="00FC68EE">
        <w:rPr>
          <w:rFonts w:ascii="Times New Roman" w:hAnsi="Times New Roman"/>
          <w:bCs/>
          <w:sz w:val="24"/>
          <w:szCs w:val="24"/>
          <w:highlight w:val="white"/>
        </w:rPr>
        <w:t>Калашникова Ирина Николаевна</w:t>
      </w:r>
    </w:p>
    <w:p w14:paraId="74B8B990" w14:textId="77777777" w:rsidR="0002397D" w:rsidRDefault="0002397D" w:rsidP="0002397D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r>
        <w:rPr>
          <w:rFonts w:ascii="Times New Roman" w:hAnsi="Times New Roman"/>
          <w:bCs/>
          <w:highlight w:val="white"/>
        </w:rPr>
        <w:t>Бузбаева Зайнеш Утебаевна</w:t>
      </w:r>
    </w:p>
    <w:p w14:paraId="315F863D" w14:textId="77777777" w:rsidR="007C2C86" w:rsidRDefault="007C2C86" w:rsidP="0002397D">
      <w:pPr>
        <w:spacing w:line="240" w:lineRule="auto"/>
        <w:jc w:val="both"/>
      </w:pPr>
    </w:p>
    <w:sectPr w:rsidR="007C2C86" w:rsidSect="00BB7719">
      <w:pgSz w:w="11906" w:h="16838"/>
      <w:pgMar w:top="1134" w:right="567" w:bottom="426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C86"/>
    <w:rsid w:val="000031F2"/>
    <w:rsid w:val="0002397D"/>
    <w:rsid w:val="00037276"/>
    <w:rsid w:val="00053061"/>
    <w:rsid w:val="000C3E03"/>
    <w:rsid w:val="001A3999"/>
    <w:rsid w:val="00217B6A"/>
    <w:rsid w:val="00373B0F"/>
    <w:rsid w:val="004C3826"/>
    <w:rsid w:val="004F24E9"/>
    <w:rsid w:val="005861DF"/>
    <w:rsid w:val="00611412"/>
    <w:rsid w:val="00685948"/>
    <w:rsid w:val="006B00BC"/>
    <w:rsid w:val="006B4F99"/>
    <w:rsid w:val="006D2568"/>
    <w:rsid w:val="006F76CA"/>
    <w:rsid w:val="00793B0C"/>
    <w:rsid w:val="007C2C86"/>
    <w:rsid w:val="00931A81"/>
    <w:rsid w:val="0098331A"/>
    <w:rsid w:val="00984342"/>
    <w:rsid w:val="009A2348"/>
    <w:rsid w:val="009E69EE"/>
    <w:rsid w:val="00A5026C"/>
    <w:rsid w:val="00A62D1C"/>
    <w:rsid w:val="00A915E8"/>
    <w:rsid w:val="00AB14F8"/>
    <w:rsid w:val="00BB7719"/>
    <w:rsid w:val="00C6208E"/>
    <w:rsid w:val="00FC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89626"/>
  <w15:docId w15:val="{94F4A41C-B4D4-42B4-9AB7-D9BA5C47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482082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styleId="a5">
    <w:name w:val="Unresolved Mention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Times New Roman" w:hAnsi="Times New Roman" w:cs="Mangal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ao.ru/site-page/informaciya-dlya-medicinskih-organizac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Бузбаева Зайнеш Утебаевна</cp:lastModifiedBy>
  <cp:revision>69</cp:revision>
  <cp:lastPrinted>2022-06-06T11:41:00Z</cp:lastPrinted>
  <dcterms:created xsi:type="dcterms:W3CDTF">2019-11-11T06:04:00Z</dcterms:created>
  <dcterms:modified xsi:type="dcterms:W3CDTF">2022-06-06T11:42:00Z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